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C8E" w:rsidRDefault="00A20C8E">
      <w:pPr>
        <w:spacing w:line="360" w:lineRule="auto"/>
        <w:jc w:val="both"/>
        <w:rPr>
          <w:rFonts w:ascii="Times New Roman" w:hAnsi="Times New Roman" w:cs="Times New Roman"/>
          <w:sz w:val="24"/>
          <w:szCs w:val="24"/>
        </w:rPr>
      </w:pPr>
    </w:p>
    <w:p w:rsidR="00A20C8E" w:rsidRDefault="002309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20C8E" w:rsidRDefault="002309F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INFERTILITY AND GENDER OF OFFSPRING – CHALLENGES TO CATHOLIC CHRISTIAN MARRIAGE AND FAMILY.  </w:t>
      </w:r>
    </w:p>
    <w:p w:rsidR="00A20C8E" w:rsidRDefault="002309F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By: Sr. Dr. Anastasia Njoku HHCJ</w:t>
      </w:r>
    </w:p>
    <w:p w:rsidR="00A20C8E" w:rsidRDefault="002309FE">
      <w:pPr>
        <w:spacing w:line="360" w:lineRule="auto"/>
        <w:jc w:val="both"/>
        <w:rPr>
          <w:rFonts w:ascii="Times New Roman" w:hAnsi="Times New Roman" w:cs="Times New Roman"/>
          <w:b/>
          <w:sz w:val="24"/>
          <w:szCs w:val="24"/>
        </w:rPr>
      </w:pPr>
      <w:r>
        <w:rPr>
          <w:rFonts w:ascii="Times New Roman" w:hAnsi="Times New Roman" w:cs="Times New Roman"/>
          <w:b/>
          <w:sz w:val="24"/>
          <w:szCs w:val="24"/>
        </w:rPr>
        <w:t>Summary</w:t>
      </w:r>
    </w:p>
    <w:p w:rsidR="00A20C8E" w:rsidRDefault="002309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In-Vitro fertilized (IVF) pregnancies and multiple deliveries are trending nowadays. They are celebrated by many, including Catholic families. Discovery of extra-corporal incubation technology appears exciting to a lot of people. AS Genotype couples also getting married in the hope that modern technology will assist them in selecting desirable offspring genotype. Infertility and offspring gender imbalance are also threatening the stability and joy of Christian marriages. Consistent with the sacredness of life, the Church’s teachings do not support Assisted Reproductive Technology. </w:t>
      </w:r>
    </w:p>
    <w:p w:rsidR="00836D52" w:rsidRDefault="008F5B79">
      <w:pPr>
        <w:spacing w:line="360" w:lineRule="auto"/>
        <w:jc w:val="both"/>
        <w:rPr>
          <w:rFonts w:ascii="Times New Roman" w:hAnsi="Times New Roman" w:cs="Times New Roman"/>
          <w:sz w:val="24"/>
          <w:szCs w:val="24"/>
        </w:rPr>
      </w:pPr>
      <w:r>
        <w:rPr>
          <w:rFonts w:ascii="Times New Roman" w:hAnsi="Times New Roman" w:cs="Times New Roman"/>
          <w:sz w:val="24"/>
          <w:szCs w:val="24"/>
        </w:rPr>
        <w:t>Infertility and</w:t>
      </w:r>
      <w:r w:rsidR="002309FE">
        <w:rPr>
          <w:rFonts w:ascii="Times New Roman" w:hAnsi="Times New Roman" w:cs="Times New Roman"/>
          <w:sz w:val="24"/>
          <w:szCs w:val="24"/>
        </w:rPr>
        <w:t xml:space="preserve"> gender of offspring imbalance are threatening the stability of happy and enduring Catholic Christian marriages, inviting the Church to revisit this issue.</w:t>
      </w:r>
      <w:r w:rsidR="00DB1DCD">
        <w:rPr>
          <w:rFonts w:ascii="Times New Roman" w:hAnsi="Times New Roman" w:cs="Times New Roman"/>
          <w:sz w:val="24"/>
          <w:szCs w:val="24"/>
        </w:rPr>
        <w:t xml:space="preserve"> This is urgent as never before</w:t>
      </w:r>
      <w:r w:rsidR="002309FE">
        <w:rPr>
          <w:rFonts w:ascii="Times New Roman" w:hAnsi="Times New Roman" w:cs="Times New Roman"/>
          <w:sz w:val="24"/>
          <w:szCs w:val="24"/>
        </w:rPr>
        <w:t>.</w:t>
      </w:r>
      <w:r w:rsidR="002309FE">
        <w:rPr>
          <w:rFonts w:ascii="Times New Roman" w:hAnsi="Times New Roman" w:cs="Times New Roman"/>
          <w:i/>
          <w:iCs/>
          <w:sz w:val="24"/>
          <w:szCs w:val="24"/>
        </w:rPr>
        <w:t xml:space="preserve"> </w:t>
      </w:r>
      <w:r w:rsidR="002309FE">
        <w:rPr>
          <w:rFonts w:ascii="Times New Roman" w:hAnsi="Times New Roman" w:cs="Times New Roman"/>
          <w:sz w:val="24"/>
          <w:szCs w:val="24"/>
        </w:rPr>
        <w:t xml:space="preserve">The article highlights contemporary challenges Catholic Christian couples face in marriage and family life and proposes an update of the Catholic Christian Pre-Marriage Education Syllable to include and adequately address them. </w:t>
      </w:r>
    </w:p>
    <w:p w:rsidR="00A20C8E" w:rsidRDefault="00836D52">
      <w:pPr>
        <w:spacing w:line="360" w:lineRule="auto"/>
        <w:jc w:val="both"/>
        <w:rPr>
          <w:rFonts w:ascii="Times New Roman" w:hAnsi="Times New Roman" w:cs="Times New Roman"/>
          <w:sz w:val="24"/>
          <w:szCs w:val="24"/>
        </w:rPr>
      </w:pPr>
      <w:r>
        <w:rPr>
          <w:rFonts w:ascii="Times New Roman" w:hAnsi="Times New Roman" w:cs="Times New Roman"/>
          <w:sz w:val="24"/>
          <w:szCs w:val="24"/>
        </w:rPr>
        <w:t>We are called to read again Pope John Paul’s Letter to Families.</w:t>
      </w:r>
    </w:p>
    <w:p w:rsidR="00DB1DCD" w:rsidRPr="00DB1DCD" w:rsidRDefault="00DB1DCD">
      <w:pPr>
        <w:spacing w:line="360" w:lineRule="auto"/>
        <w:jc w:val="both"/>
        <w:rPr>
          <w:rFonts w:ascii="Times New Roman" w:hAnsi="Times New Roman" w:cs="Times New Roman"/>
          <w:b/>
          <w:sz w:val="24"/>
          <w:szCs w:val="24"/>
        </w:rPr>
      </w:pPr>
      <w:r w:rsidRPr="00DB1DCD">
        <w:rPr>
          <w:rFonts w:ascii="Times New Roman" w:hAnsi="Times New Roman" w:cs="Times New Roman"/>
          <w:b/>
          <w:sz w:val="24"/>
          <w:szCs w:val="24"/>
        </w:rPr>
        <w:t>Background</w:t>
      </w:r>
    </w:p>
    <w:p w:rsidR="00A20C8E" w:rsidRDefault="002309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my personal experience as an obstetrician and gynecologist coupled with the knowledge gained from running a fertility clinic as well as a pre-marriage instructor, I am convinced that many Catholics are ignorant of </w:t>
      </w:r>
      <w:r w:rsidR="008F5B79">
        <w:rPr>
          <w:rFonts w:ascii="Times New Roman" w:hAnsi="Times New Roman" w:cs="Times New Roman"/>
          <w:sz w:val="24"/>
          <w:szCs w:val="24"/>
        </w:rPr>
        <w:t>the Church’s opposition to IVF,</w:t>
      </w:r>
      <w:r>
        <w:rPr>
          <w:rFonts w:ascii="Times New Roman" w:hAnsi="Times New Roman" w:cs="Times New Roman"/>
          <w:sz w:val="24"/>
          <w:szCs w:val="24"/>
        </w:rPr>
        <w:t xml:space="preserve"> a knowledge gap on the Church’s teaching that must be addressed, hence the urgency to update both the content of pre-marriage education, the training of educators as well as the clergy. Reflection and discussion on these contemporary issues during marriage preparation and within marriage in line with Pope John Paul II’s Letter to Families (</w:t>
      </w:r>
      <w:proofErr w:type="spellStart"/>
      <w:r>
        <w:rPr>
          <w:rFonts w:ascii="Times New Roman" w:hAnsi="Times New Roman" w:cs="Times New Roman"/>
          <w:sz w:val="24"/>
          <w:szCs w:val="24"/>
        </w:rPr>
        <w:t>Consortio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Familiaris</w:t>
      </w:r>
      <w:proofErr w:type="spellEnd"/>
      <w:r w:rsidR="00836D52">
        <w:rPr>
          <w:rFonts w:ascii="Times New Roman" w:hAnsi="Times New Roman" w:cs="Times New Roman"/>
          <w:sz w:val="24"/>
          <w:szCs w:val="24"/>
        </w:rPr>
        <w:t xml:space="preserve"> 1982</w:t>
      </w:r>
      <w:r>
        <w:rPr>
          <w:rFonts w:ascii="Times New Roman" w:hAnsi="Times New Roman" w:cs="Times New Roman"/>
          <w:sz w:val="24"/>
          <w:szCs w:val="24"/>
        </w:rPr>
        <w:t xml:space="preserve">) will better prepare couples who are eventually confronted by such challenges in their marriage and family life. </w:t>
      </w:r>
      <w:r w:rsidR="00DB1DCD">
        <w:rPr>
          <w:rFonts w:ascii="Times New Roman" w:hAnsi="Times New Roman" w:cs="Times New Roman"/>
          <w:sz w:val="24"/>
          <w:szCs w:val="24"/>
        </w:rPr>
        <w:t xml:space="preserve">The introduction of Creighton </w:t>
      </w:r>
      <w:r w:rsidR="00DB1DCD">
        <w:rPr>
          <w:rFonts w:ascii="Times New Roman" w:hAnsi="Times New Roman" w:cs="Times New Roman"/>
          <w:sz w:val="24"/>
          <w:szCs w:val="24"/>
        </w:rPr>
        <w:lastRenderedPageBreak/>
        <w:t>Model Fertility System and Natural Procreative Technology (NaproTechnology) hold potential for checkmating the abuse to the sacredness of life</w:t>
      </w:r>
    </w:p>
    <w:p w:rsidR="00A20C8E" w:rsidRDefault="00A20C8E">
      <w:pPr>
        <w:pStyle w:val="NormalWeb"/>
        <w:shd w:val="clear" w:color="auto" w:fill="FFFFFF"/>
        <w:spacing w:line="360" w:lineRule="auto"/>
        <w:jc w:val="both"/>
        <w:rPr>
          <w:b/>
          <w:bCs/>
          <w:iCs/>
          <w:color w:val="000000"/>
        </w:rPr>
      </w:pPr>
    </w:p>
    <w:p w:rsidR="00A20C8E" w:rsidRDefault="002309FE">
      <w:pPr>
        <w:pStyle w:val="NormalWeb"/>
        <w:shd w:val="clear" w:color="auto" w:fill="FFFFFF"/>
        <w:spacing w:line="360" w:lineRule="auto"/>
        <w:jc w:val="both"/>
        <w:rPr>
          <w:b/>
          <w:color w:val="000000"/>
        </w:rPr>
      </w:pPr>
      <w:r>
        <w:rPr>
          <w:b/>
          <w:bCs/>
          <w:iCs/>
          <w:color w:val="000000"/>
        </w:rPr>
        <w:t>Children, the Precious Gift of Marriage</w:t>
      </w:r>
    </w:p>
    <w:p w:rsidR="00A20C8E" w:rsidRPr="008F5B79" w:rsidRDefault="002309FE" w:rsidP="008F5B79">
      <w:pPr>
        <w:pStyle w:val="NormalWeb"/>
        <w:shd w:val="clear" w:color="auto" w:fill="FFFFFF"/>
        <w:spacing w:line="360" w:lineRule="auto"/>
        <w:jc w:val="both"/>
        <w:rPr>
          <w:color w:val="000000"/>
        </w:rPr>
      </w:pPr>
      <w:r>
        <w:rPr>
          <w:color w:val="000000"/>
        </w:rPr>
        <w:t xml:space="preserve"> According to the plan of God, marriage is the foundation of the family and society. The very institution of marriage and conjugal love are ordained mainly for the procreation and education of children; boys or girls, in whom they find their crowning</w:t>
      </w:r>
      <w:r>
        <w:rPr>
          <w:rStyle w:val="FootnoteReference"/>
          <w:color w:val="000000"/>
        </w:rPr>
        <w:footnoteReference w:id="1"/>
      </w:r>
      <w:r>
        <w:rPr>
          <w:color w:val="000000"/>
        </w:rPr>
        <w:t>. In its most profound reality, love is essentially a gift; and conjugal love, while leading the spouses to the reciprocal "knowledge" which makes them "one flesh”</w:t>
      </w:r>
      <w:r>
        <w:rPr>
          <w:rStyle w:val="FootnoteReference"/>
          <w:color w:val="000000"/>
        </w:rPr>
        <w:footnoteReference w:id="2"/>
      </w:r>
      <w:r>
        <w:rPr>
          <w:color w:val="000000"/>
        </w:rPr>
        <w:t>. This does not end with the couple because it makes them capable of the greatest possible gift, by which they become cooperators with God for giving life to a new human person. Thus the couple, while giving themselves to one another, give not just themselves, but also the reality of children, who are a living reflection of their love, a permanent sign of conjugal unity and a living and inseparable synthesis of their being a father and a mother.</w:t>
      </w:r>
      <w:r w:rsidR="008F5B79">
        <w:rPr>
          <w:color w:val="000000"/>
        </w:rPr>
        <w:t xml:space="preserve"> </w:t>
      </w:r>
      <w:r w:rsidRPr="008F5B79">
        <w:t>When they become parents, spouses receive from God the gift of a new responsibility. Their parental love is called to become for the children the visible sign of the very love of God, "from whom every family in heaven and on earth is named</w:t>
      </w:r>
      <w:r w:rsidRPr="008F5B79">
        <w:rPr>
          <w:rStyle w:val="FootnoteReference"/>
        </w:rPr>
        <w:footnoteReference w:id="3"/>
      </w:r>
      <w:r w:rsidRPr="008F5B79">
        <w:t xml:space="preserve"> and living cell of society. The quality of family life therefore impacts on the wider society.   </w:t>
      </w:r>
    </w:p>
    <w:p w:rsidR="00A20C8E" w:rsidRDefault="002309FE">
      <w:pPr>
        <w:pStyle w:val="NormalWeb"/>
        <w:shd w:val="clear" w:color="auto" w:fill="FFFFFF"/>
        <w:spacing w:line="360" w:lineRule="auto"/>
        <w:jc w:val="both"/>
        <w:rPr>
          <w:b/>
          <w:color w:val="000000"/>
        </w:rPr>
      </w:pPr>
      <w:r>
        <w:rPr>
          <w:color w:val="000000"/>
        </w:rPr>
        <w:t xml:space="preserve"> </w:t>
      </w:r>
      <w:r>
        <w:rPr>
          <w:b/>
          <w:color w:val="000000"/>
        </w:rPr>
        <w:t>Infertility in Marriage</w:t>
      </w:r>
    </w:p>
    <w:p w:rsidR="00A20C8E" w:rsidRDefault="002309FE">
      <w:pPr>
        <w:pStyle w:val="NormalWeb"/>
        <w:shd w:val="clear" w:color="auto" w:fill="FFFFFF"/>
        <w:spacing w:line="360" w:lineRule="auto"/>
        <w:jc w:val="both"/>
        <w:rPr>
          <w:color w:val="000000"/>
        </w:rPr>
      </w:pPr>
      <w:r>
        <w:rPr>
          <w:color w:val="000000"/>
        </w:rPr>
        <w:t xml:space="preserve">It must not be forgotten that even when procreation is not possible, conjugal life within marriage does not for this reason lose its value. The lived reality however is that many Christian spouses consider their marriage incomplete and not worth sustaining without biological offspring. They invoke familiar Bible quotations in support of their arguments: </w:t>
      </w:r>
    </w:p>
    <w:p w:rsidR="00A20C8E" w:rsidRDefault="002309FE">
      <w:pPr>
        <w:pStyle w:val="NormalWeb"/>
        <w:shd w:val="clear" w:color="auto" w:fill="FFFFFF"/>
        <w:spacing w:line="360" w:lineRule="auto"/>
        <w:ind w:left="720"/>
        <w:jc w:val="both"/>
        <w:rPr>
          <w:color w:val="000000"/>
        </w:rPr>
      </w:pPr>
      <w:r>
        <w:rPr>
          <w:i/>
          <w:iCs/>
          <w:color w:val="000000"/>
        </w:rPr>
        <w:lastRenderedPageBreak/>
        <w:t xml:space="preserve">At creation; God said to Adam and Eve;” Increase and multiply…” </w:t>
      </w:r>
      <w:r>
        <w:rPr>
          <w:rStyle w:val="FootnoteReference"/>
          <w:i/>
          <w:iCs/>
          <w:color w:val="000000"/>
        </w:rPr>
        <w:footnoteReference w:id="4"/>
      </w:r>
      <w:r>
        <w:rPr>
          <w:i/>
          <w:iCs/>
          <w:color w:val="000000"/>
        </w:rPr>
        <w:t>.  “…No one in your land will miscarry or be barren”</w:t>
      </w:r>
      <w:r>
        <w:rPr>
          <w:rStyle w:val="FootnoteReference"/>
          <w:i/>
          <w:iCs/>
          <w:color w:val="000000"/>
        </w:rPr>
        <w:footnoteReference w:id="5"/>
      </w:r>
      <w:r>
        <w:rPr>
          <w:i/>
          <w:iCs/>
          <w:color w:val="000000"/>
        </w:rPr>
        <w:t>. God said to Abram “Your slave shall not be your heir”</w:t>
      </w:r>
      <w:r>
        <w:rPr>
          <w:rStyle w:val="FootnoteReference"/>
          <w:i/>
          <w:iCs/>
          <w:color w:val="000000"/>
        </w:rPr>
        <w:footnoteReference w:id="6"/>
      </w:r>
      <w:r>
        <w:rPr>
          <w:i/>
          <w:iCs/>
          <w:color w:val="000000"/>
        </w:rPr>
        <w:t>.</w:t>
      </w:r>
    </w:p>
    <w:p w:rsidR="00A20C8E" w:rsidRDefault="002309FE">
      <w:pPr>
        <w:pStyle w:val="NormalWeb"/>
        <w:shd w:val="clear" w:color="auto" w:fill="FFFFFF"/>
        <w:spacing w:line="360" w:lineRule="auto"/>
        <w:ind w:left="120" w:hangingChars="50" w:hanging="120"/>
        <w:jc w:val="both"/>
        <w:rPr>
          <w:color w:val="000000"/>
        </w:rPr>
      </w:pPr>
      <w:r>
        <w:rPr>
          <w:color w:val="000000"/>
        </w:rPr>
        <w:t xml:space="preserve">Infertility is therefore difficult to accept as part of God’s design for man, woman or of </w:t>
      </w:r>
      <w:r w:rsidR="008F5B79">
        <w:rPr>
          <w:color w:val="000000"/>
        </w:rPr>
        <w:t>any marriage</w:t>
      </w:r>
      <w:r>
        <w:rPr>
          <w:color w:val="000000"/>
        </w:rPr>
        <w:t>. More tellingly, the pre-wedding interrogation tends to support these notions as they focus on the readiness of the couple to take care and educate the children God will give them. Pre-marriage interrogations are usually silent on possible infertility.</w:t>
      </w:r>
    </w:p>
    <w:p w:rsidR="00A20C8E" w:rsidRDefault="002309FE">
      <w:pPr>
        <w:pStyle w:val="NormalWeb"/>
        <w:shd w:val="clear" w:color="auto" w:fill="FFFFFF"/>
        <w:spacing w:line="360" w:lineRule="auto"/>
        <w:jc w:val="both"/>
        <w:rPr>
          <w:color w:val="000000"/>
        </w:rPr>
      </w:pPr>
      <w:r>
        <w:rPr>
          <w:bCs/>
          <w:color w:val="000000"/>
        </w:rPr>
        <w:t xml:space="preserve">Particularly aggravating for some couples or families is the </w:t>
      </w:r>
      <w:r>
        <w:rPr>
          <w:color w:val="000000"/>
        </w:rPr>
        <w:t>absence of a male child. In some families or cultures, it is almost considered as infertility which renders the marriage incomplete, unsustainable and unacceptable in the design of God. So, it is not uncommon for parents of girls-only offspring presenting themselves as not having children. They often say: “</w:t>
      </w:r>
      <w:r>
        <w:rPr>
          <w:i/>
          <w:iCs/>
          <w:color w:val="000000"/>
        </w:rPr>
        <w:t>They are girls”.</w:t>
      </w:r>
      <w:r>
        <w:rPr>
          <w:color w:val="000000"/>
        </w:rPr>
        <w:t xml:space="preserve"> Some reinforce their positions with Bible quotations such as when God said to Abraham, “</w:t>
      </w:r>
      <w:r>
        <w:rPr>
          <w:i/>
          <w:iCs/>
          <w:color w:val="000000"/>
        </w:rPr>
        <w:t>Your slave shall not be your heir”.</w:t>
      </w:r>
      <w:r>
        <w:rPr>
          <w:color w:val="000000"/>
        </w:rPr>
        <w:t xml:space="preserve"> Against this backdrop, infertility or girls-only situation is therefore not accepted as part of God’s design for man, woman or of any marriage.</w:t>
      </w:r>
    </w:p>
    <w:p w:rsidR="00A20C8E" w:rsidRDefault="002309FE">
      <w:pPr>
        <w:pStyle w:val="NormalWeb"/>
        <w:shd w:val="clear" w:color="auto" w:fill="FFFFFF"/>
        <w:spacing w:line="360" w:lineRule="auto"/>
        <w:jc w:val="both"/>
        <w:rPr>
          <w:b/>
          <w:color w:val="000000"/>
        </w:rPr>
      </w:pPr>
      <w:r>
        <w:rPr>
          <w:b/>
          <w:color w:val="000000"/>
        </w:rPr>
        <w:t>Challenges of Infertility</w:t>
      </w:r>
    </w:p>
    <w:p w:rsidR="00A20C8E" w:rsidRDefault="002309FE">
      <w:pPr>
        <w:pStyle w:val="NormalWeb"/>
        <w:shd w:val="clear" w:color="auto" w:fill="FFFFFF"/>
        <w:spacing w:line="360" w:lineRule="auto"/>
        <w:jc w:val="both"/>
        <w:rPr>
          <w:color w:val="000000"/>
        </w:rPr>
      </w:pPr>
      <w:r>
        <w:rPr>
          <w:color w:val="000000"/>
        </w:rPr>
        <w:t>Infertile couples face myriad challenges ranging from emotional and sexual stress, tension in the overall relationship, disagreements from immediate and extended families as well as social circles. Other challenges they face include the financial burden of infertility treatment, confusion, job disruptions, loss of self-esteem, trial of faith with readiness to seek solution from any source as well as separation. In such situations, what matters to them is the result, and not the means.  Couples of ‘female</w:t>
      </w:r>
      <w:r w:rsidR="007D256F">
        <w:rPr>
          <w:color w:val="000000"/>
        </w:rPr>
        <w:t xml:space="preserve"> only’ or ‘male only’ offspring</w:t>
      </w:r>
      <w:r>
        <w:rPr>
          <w:color w:val="000000"/>
        </w:rPr>
        <w:t xml:space="preserve"> are unaware and unconcerned about the number of lives killed and eliminated in the process of selective abortions. They often resort to sex- selection using artificially-assisted technologies. Access to prenatal diagnostics for such purposes is on the increase. Health risk is considered insignificant to achieving these desires. </w:t>
      </w:r>
    </w:p>
    <w:p w:rsidR="00A20C8E" w:rsidRDefault="002309FE">
      <w:pPr>
        <w:pStyle w:val="NormalWeb"/>
        <w:shd w:val="clear" w:color="auto" w:fill="FFFFFF"/>
        <w:spacing w:line="360" w:lineRule="auto"/>
        <w:jc w:val="both"/>
        <w:rPr>
          <w:color w:val="000000"/>
        </w:rPr>
      </w:pPr>
      <w:r>
        <w:rPr>
          <w:color w:val="000000"/>
        </w:rPr>
        <w:t>Others opt for</w:t>
      </w:r>
      <w:r w:rsidR="007D256F">
        <w:rPr>
          <w:color w:val="000000"/>
        </w:rPr>
        <w:t xml:space="preserve"> alternative medicine,</w:t>
      </w:r>
      <w:r>
        <w:rPr>
          <w:color w:val="000000"/>
        </w:rPr>
        <w:t xml:space="preserve"> native doctors, not excluding visits to shrines, taking second wives, extramarital relationships which introduce additional conflict into the marriage and family. </w:t>
      </w:r>
      <w:r>
        <w:rPr>
          <w:color w:val="000000"/>
        </w:rPr>
        <w:lastRenderedPageBreak/>
        <w:t>Opportunistic Catholic and non-Catholic Ministries find them viable economic preys while adding more confusion through unfounded interpretations of causes and solutions. A lot of people are ignorant about the Church’s teaching on artificial or assisted reproductive technologies. It is widely not understood that the Catholic Church does not approve these methods, and this exposes them to readily accept In-Vitro Fertilization (IV</w:t>
      </w:r>
      <w:r w:rsidR="007D256F">
        <w:rPr>
          <w:color w:val="000000"/>
        </w:rPr>
        <w:t>F</w:t>
      </w:r>
      <w:r>
        <w:rPr>
          <w:color w:val="000000"/>
        </w:rPr>
        <w:t xml:space="preserve">), insemination, baby and child trafficking, </w:t>
      </w:r>
      <w:r w:rsidR="007D256F">
        <w:rPr>
          <w:color w:val="000000"/>
        </w:rPr>
        <w:t>etc.</w:t>
      </w:r>
      <w:r>
        <w:rPr>
          <w:color w:val="000000"/>
        </w:rPr>
        <w:t xml:space="preserve"> as solutions especially for those who can afford the costs.</w:t>
      </w:r>
    </w:p>
    <w:p w:rsidR="00A20C8E" w:rsidRDefault="002309FE">
      <w:pPr>
        <w:pStyle w:val="NormalWeb"/>
        <w:shd w:val="clear" w:color="auto" w:fill="FFFFFF"/>
        <w:spacing w:line="360" w:lineRule="auto"/>
        <w:jc w:val="both"/>
        <w:rPr>
          <w:b/>
          <w:color w:val="000000"/>
        </w:rPr>
      </w:pPr>
      <w:r>
        <w:rPr>
          <w:b/>
          <w:color w:val="000000"/>
        </w:rPr>
        <w:t>Next Steps for the Church</w:t>
      </w:r>
    </w:p>
    <w:p w:rsidR="00A20C8E" w:rsidRDefault="002309FE">
      <w:pPr>
        <w:pStyle w:val="NormalWeb"/>
        <w:shd w:val="clear" w:color="auto" w:fill="FFFFFF"/>
        <w:spacing w:line="360" w:lineRule="auto"/>
        <w:jc w:val="both"/>
        <w:rPr>
          <w:color w:val="000000"/>
        </w:rPr>
      </w:pPr>
      <w:r>
        <w:rPr>
          <w:color w:val="000000"/>
        </w:rPr>
        <w:t>The Church must recognize that infertility is a reality and presently on the rise. Ironically, the Church is either silent or becoming tired of addressing unhealthy sexual lifestyles which promote infertility among singles. Major causative factors include prolonged courtship without delay in initiating sexual relationship, use of contraceptives, abortion etc. The Church through the Parishes must devote more time to teaching about the unconditional nature and value of marriage in difficult times as well as the acceptable ways of dealing with infertility considering the high desire for children especially for most African families. We must emphasize and enlighten Catholics and the clergy on the Church’s position and condemnation of extra-corporal Assisted Reproductive Technology = IVF, etc. and invest on Natural Procreative Technology while mainstreaming education on gender equality and equity.</w:t>
      </w:r>
    </w:p>
    <w:p w:rsidR="00A20C8E" w:rsidRDefault="002309FE">
      <w:pPr>
        <w:pStyle w:val="NormalWeb"/>
        <w:shd w:val="clear" w:color="auto" w:fill="FFFFFF"/>
        <w:spacing w:line="360" w:lineRule="auto"/>
        <w:jc w:val="both"/>
        <w:rPr>
          <w:b/>
          <w:bCs/>
          <w:color w:val="000000"/>
        </w:rPr>
      </w:pPr>
      <w:r>
        <w:rPr>
          <w:b/>
          <w:bCs/>
          <w:color w:val="000000"/>
        </w:rPr>
        <w:t>Opportunities Offered by Infertility</w:t>
      </w:r>
    </w:p>
    <w:p w:rsidR="00A20C8E" w:rsidRDefault="002309FE">
      <w:pPr>
        <w:pStyle w:val="NormalWeb"/>
        <w:shd w:val="clear" w:color="auto" w:fill="FFFFFF"/>
        <w:spacing w:line="360" w:lineRule="auto"/>
        <w:jc w:val="both"/>
        <w:rPr>
          <w:color w:val="000000"/>
        </w:rPr>
      </w:pPr>
      <w:r>
        <w:rPr>
          <w:color w:val="000000"/>
        </w:rPr>
        <w:t>Physical sterility presents an opportunity for spouses to consider other important services to humanity such as adoption, various forms of educational work, assistance to other families and to the poor or handicapped children and community service</w:t>
      </w:r>
      <w:r w:rsidR="007D256F">
        <w:rPr>
          <w:rStyle w:val="FootnoteReference"/>
          <w:color w:val="000000"/>
        </w:rPr>
        <w:footnoteReference w:id="7"/>
      </w:r>
      <w:r w:rsidR="001C4A7A">
        <w:rPr>
          <w:color w:val="000000"/>
        </w:rPr>
        <w:t xml:space="preserve">. </w:t>
      </w:r>
    </w:p>
    <w:p w:rsidR="00A20C8E" w:rsidRPr="001C4A7A" w:rsidRDefault="002309FE">
      <w:pPr>
        <w:pStyle w:val="NormalWeb"/>
        <w:shd w:val="clear" w:color="auto" w:fill="FFFFFF"/>
        <w:spacing w:line="360" w:lineRule="auto"/>
        <w:jc w:val="both"/>
        <w:rPr>
          <w:color w:val="000000"/>
        </w:rPr>
      </w:pPr>
      <w:r>
        <w:rPr>
          <w:color w:val="000000"/>
        </w:rPr>
        <w:t xml:space="preserve">While admitting that adoption is becoming an acceptable option for infertile couple, more advocacy work still needs to be done to break individual, family and cultural barriers that present adoption as unacceptable and illegal thereby denying an adoptive child the right of family membership and inheritance. It is important for the Church to institutionalize pre-adoption counseling and guide for prospective parents. Parish Family Life Units can include this in their </w:t>
      </w:r>
      <w:r>
        <w:rPr>
          <w:color w:val="000000"/>
        </w:rPr>
        <w:lastRenderedPageBreak/>
        <w:t>services enabling such couples to speak freely about their desire to adopt. The Church should encourage them to celebrate their adoption with the church and home communities. Another important obstacle that must be removed is the cost of legal adoption. The advocacy for the reduction of this costs must be intensified. Some couples and families do not consider adoption due to the high financial and material requirements which have no bearing on the future care of the child.</w:t>
      </w:r>
    </w:p>
    <w:p w:rsidR="00A20C8E" w:rsidRDefault="002309FE">
      <w:pPr>
        <w:pStyle w:val="NormalWeb"/>
        <w:shd w:val="clear" w:color="auto" w:fill="FFFFFF"/>
        <w:spacing w:line="360" w:lineRule="auto"/>
        <w:jc w:val="both"/>
        <w:rPr>
          <w:b/>
          <w:color w:val="000000"/>
        </w:rPr>
      </w:pPr>
      <w:r>
        <w:rPr>
          <w:b/>
          <w:color w:val="000000"/>
        </w:rPr>
        <w:t>Proactive Approach to Infertility and Gender Option</w:t>
      </w:r>
    </w:p>
    <w:p w:rsidR="00A20C8E" w:rsidRDefault="002309FE">
      <w:pPr>
        <w:pStyle w:val="NormalWeb"/>
        <w:shd w:val="clear" w:color="auto" w:fill="FFFFFF"/>
        <w:spacing w:line="360" w:lineRule="auto"/>
        <w:jc w:val="both"/>
        <w:rPr>
          <w:color w:val="000000"/>
        </w:rPr>
      </w:pPr>
      <w:r>
        <w:rPr>
          <w:color w:val="000000"/>
        </w:rPr>
        <w:t>Responsible conjugal life and parenting requires intending couples to initiate conscious discussions and natural actions early in marriage that facilitate stress-free achievement of their desired number of children and gender. On the other hand, many couples live unconscious conjugal life chancing their procreative ability and gender. They initiate fertility discussions and help late and when already under pressure of infertility or one-gender children. A good knowledge and use of the Natural Family Planning and Natural Procreative Technology early in marriage can work as preventive measures to infertility and one-gender offspring.</w:t>
      </w:r>
      <w:r w:rsidR="001C4A7A">
        <w:rPr>
          <w:color w:val="000000"/>
        </w:rPr>
        <w:t xml:space="preserve"> Ovulation timing through mucus- and </w:t>
      </w:r>
      <w:r>
        <w:rPr>
          <w:color w:val="000000"/>
        </w:rPr>
        <w:t>symptothermal</w:t>
      </w:r>
      <w:r w:rsidR="001C4A7A">
        <w:rPr>
          <w:color w:val="000000"/>
        </w:rPr>
        <w:t xml:space="preserve"> observations</w:t>
      </w:r>
      <w:r>
        <w:rPr>
          <w:color w:val="000000"/>
        </w:rPr>
        <w:t xml:space="preserve">, Creighton Model Fertility Care System, ultrasound follicle tracking improves conception and achievement of the desired sex of baby. </w:t>
      </w:r>
    </w:p>
    <w:p w:rsidR="00A20C8E" w:rsidRDefault="002309FE">
      <w:pPr>
        <w:pStyle w:val="NormalWeb"/>
        <w:shd w:val="clear" w:color="auto" w:fill="FFFFFF"/>
        <w:spacing w:line="360" w:lineRule="auto"/>
        <w:jc w:val="both"/>
        <w:rPr>
          <w:b/>
          <w:color w:val="000000"/>
        </w:rPr>
      </w:pPr>
      <w:r>
        <w:rPr>
          <w:b/>
          <w:bCs/>
          <w:iCs/>
          <w:color w:val="000000"/>
        </w:rPr>
        <w:t>Indissolubility of marriage</w:t>
      </w:r>
    </w:p>
    <w:p w:rsidR="00A20C8E" w:rsidRDefault="002309FE">
      <w:pPr>
        <w:pStyle w:val="NormalWeb"/>
        <w:shd w:val="clear" w:color="auto" w:fill="FFFFFF"/>
        <w:spacing w:line="360" w:lineRule="auto"/>
        <w:jc w:val="both"/>
        <w:rPr>
          <w:color w:val="000000"/>
        </w:rPr>
      </w:pPr>
      <w:r>
        <w:rPr>
          <w:color w:val="000000"/>
        </w:rPr>
        <w:t>It is not uncommon to see couples requesting annulment on ground of infertility or absence of  male children forgetting that conjugal communion is characterized not only by its unity but also by its indissolubility: "As a mutual gift of two persons, this intimate union, as well as the good of children, imposes total fidelity on the spouses and argues for an unbreakable oneness between them</w:t>
      </w:r>
      <w:r>
        <w:rPr>
          <w:rStyle w:val="FootnoteReference"/>
          <w:color w:val="000000"/>
        </w:rPr>
        <w:footnoteReference w:id="8"/>
      </w:r>
      <w:r>
        <w:rPr>
          <w:color w:val="000000"/>
        </w:rPr>
        <w:t>. It is a fundamental duty of the Church to reaffirm strongly, the doctrine of the indissolubility of marriage, condemnation of any form of extra-corporal conception, extra-marital relationship and encourage the commitment of spouses to fidelity even when challenged with infertility and gender imbalance, it is necessary to reconfirm the good news of the definitive nature of that conjugal love that has in Christ its foundation and strength</w:t>
      </w:r>
      <w:r>
        <w:rPr>
          <w:rStyle w:val="FootnoteReference"/>
          <w:color w:val="000000"/>
        </w:rPr>
        <w:footnoteReference w:id="9"/>
      </w:r>
      <w:r>
        <w:rPr>
          <w:color w:val="000000"/>
        </w:rPr>
        <w:t>.</w:t>
      </w:r>
      <w:bookmarkStart w:id="0" w:name="_ftnref50"/>
      <w:r>
        <w:rPr>
          <w:color w:val="000000"/>
        </w:rPr>
        <w:t xml:space="preserve"> </w:t>
      </w:r>
      <w:bookmarkEnd w:id="0"/>
    </w:p>
    <w:p w:rsidR="00A20C8E" w:rsidRDefault="002309FE">
      <w:pPr>
        <w:pStyle w:val="NormalWeb"/>
        <w:shd w:val="clear" w:color="auto" w:fill="FFFFFF"/>
        <w:spacing w:line="360" w:lineRule="auto"/>
        <w:jc w:val="both"/>
        <w:rPr>
          <w:color w:val="000000"/>
        </w:rPr>
      </w:pPr>
      <w:r>
        <w:rPr>
          <w:color w:val="000000"/>
        </w:rPr>
        <w:lastRenderedPageBreak/>
        <w:t xml:space="preserve">This call for the review of the Church’s Pre-Marriage Education Syllable in line with todays’ challenges is timely. </w:t>
      </w:r>
      <w:r>
        <w:rPr>
          <w:color w:val="000000"/>
          <w:shd w:val="clear" w:color="auto" w:fill="FFFFFF"/>
        </w:rPr>
        <w:t xml:space="preserve">The Church must emphasize comprehensive pre-marriage education. Topics that could generate conflict in modern Catholic Christian marriages should be extensively addressed.  </w:t>
      </w:r>
      <w:r>
        <w:rPr>
          <w:color w:val="000000"/>
        </w:rPr>
        <w:t xml:space="preserve">A covenant undertaken after informed consent is imperative </w:t>
      </w:r>
      <w:r>
        <w:rPr>
          <w:color w:val="000000"/>
          <w:shd w:val="clear" w:color="auto" w:fill="FFFFFF"/>
        </w:rPr>
        <w:t>since t</w:t>
      </w:r>
      <w:r>
        <w:rPr>
          <w:color w:val="000000"/>
        </w:rPr>
        <w:t>he primary aim of our Mother Church is to ensure happy and an enduring married life.</w:t>
      </w:r>
    </w:p>
    <w:p w:rsidR="001C4A7A" w:rsidRDefault="001C4A7A">
      <w:pPr>
        <w:pStyle w:val="NormalWeb"/>
        <w:shd w:val="clear" w:color="auto" w:fill="FFFFFF"/>
        <w:spacing w:line="360" w:lineRule="auto"/>
        <w:jc w:val="both"/>
        <w:rPr>
          <w:color w:val="000000"/>
        </w:rPr>
      </w:pPr>
    </w:p>
    <w:p w:rsidR="001C4A7A" w:rsidRDefault="001C4A7A">
      <w:pPr>
        <w:pStyle w:val="NormalWeb"/>
        <w:pBdr>
          <w:bottom w:val="single" w:sz="6" w:space="1" w:color="auto"/>
        </w:pBdr>
        <w:shd w:val="clear" w:color="auto" w:fill="FFFFFF"/>
        <w:spacing w:line="360" w:lineRule="auto"/>
        <w:jc w:val="both"/>
        <w:rPr>
          <w:color w:val="000000"/>
        </w:rPr>
      </w:pPr>
    </w:p>
    <w:p w:rsidR="00DB1DCD" w:rsidRDefault="00A50D97">
      <w:pPr>
        <w:pStyle w:val="NormalWeb"/>
        <w:shd w:val="clear" w:color="auto" w:fill="FFFFFF"/>
        <w:spacing w:line="360" w:lineRule="auto"/>
        <w:jc w:val="both"/>
        <w:rPr>
          <w:color w:val="000000"/>
        </w:rPr>
      </w:pPr>
      <w:r>
        <w:t xml:space="preserve"> </w:t>
      </w:r>
      <w:bookmarkStart w:id="1" w:name="_GoBack"/>
      <w:bookmarkEnd w:id="1"/>
    </w:p>
    <w:sectPr w:rsidR="00DB1D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C74" w:rsidRDefault="00607C74">
      <w:pPr>
        <w:spacing w:line="240" w:lineRule="auto"/>
      </w:pPr>
      <w:r>
        <w:separator/>
      </w:r>
    </w:p>
  </w:endnote>
  <w:endnote w:type="continuationSeparator" w:id="0">
    <w:p w:rsidR="00607C74" w:rsidRDefault="00607C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02429"/>
      <w:docPartObj>
        <w:docPartGallery w:val="AutoText"/>
      </w:docPartObj>
    </w:sdtPr>
    <w:sdtContent>
      <w:p w:rsidR="00A20C8E" w:rsidRDefault="002309FE">
        <w:pPr>
          <w:pStyle w:val="Footer"/>
          <w:jc w:val="center"/>
        </w:pPr>
        <w:r>
          <w:fldChar w:fldCharType="begin"/>
        </w:r>
        <w:r>
          <w:instrText xml:space="preserve"> PAGE   \* MERGEFORMAT </w:instrText>
        </w:r>
        <w:r>
          <w:fldChar w:fldCharType="separate"/>
        </w:r>
        <w:r w:rsidR="00A50D97">
          <w:rPr>
            <w:noProof/>
          </w:rPr>
          <w:t>1</w:t>
        </w:r>
        <w:r>
          <w:fldChar w:fldCharType="end"/>
        </w:r>
      </w:p>
    </w:sdtContent>
  </w:sdt>
  <w:p w:rsidR="00A20C8E" w:rsidRDefault="00A20C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C74" w:rsidRDefault="00607C74">
      <w:pPr>
        <w:spacing w:after="0"/>
      </w:pPr>
      <w:r>
        <w:separator/>
      </w:r>
    </w:p>
  </w:footnote>
  <w:footnote w:type="continuationSeparator" w:id="0">
    <w:p w:rsidR="00607C74" w:rsidRDefault="00607C74">
      <w:pPr>
        <w:spacing w:after="0"/>
      </w:pPr>
      <w:r>
        <w:continuationSeparator/>
      </w:r>
    </w:p>
  </w:footnote>
  <w:footnote w:id="1">
    <w:p w:rsidR="00A20C8E" w:rsidRDefault="002309FE">
      <w:pPr>
        <w:pStyle w:val="FootnoteText"/>
      </w:pPr>
      <w:r>
        <w:rPr>
          <w:rStyle w:val="FootnoteReference"/>
        </w:rPr>
        <w:footnoteRef/>
      </w:r>
      <w:r>
        <w:t xml:space="preserve"> </w:t>
      </w:r>
      <w:proofErr w:type="spellStart"/>
      <w:r>
        <w:t>Cf</w:t>
      </w:r>
      <w:proofErr w:type="spellEnd"/>
      <w:r>
        <w:t xml:space="preserve">: </w:t>
      </w:r>
      <w:proofErr w:type="spellStart"/>
      <w:r>
        <w:t>Consortio</w:t>
      </w:r>
      <w:proofErr w:type="spellEnd"/>
      <w:r>
        <w:t xml:space="preserve"> </w:t>
      </w:r>
      <w:proofErr w:type="spellStart"/>
      <w:r>
        <w:t>Familiaris</w:t>
      </w:r>
      <w:proofErr w:type="spellEnd"/>
      <w:r>
        <w:t xml:space="preserve"> 14:34</w:t>
      </w:r>
    </w:p>
  </w:footnote>
  <w:footnote w:id="2">
    <w:p w:rsidR="00A20C8E" w:rsidRDefault="002309FE">
      <w:pPr>
        <w:pStyle w:val="FootnoteText"/>
      </w:pPr>
      <w:r>
        <w:rPr>
          <w:rStyle w:val="FootnoteReference"/>
        </w:rPr>
        <w:footnoteRef/>
      </w:r>
      <w:r>
        <w:t xml:space="preserve"> </w:t>
      </w:r>
      <w:proofErr w:type="spellStart"/>
      <w:r>
        <w:t>Cf</w:t>
      </w:r>
      <w:proofErr w:type="spellEnd"/>
      <w:r>
        <w:t xml:space="preserve">: </w:t>
      </w:r>
      <w:proofErr w:type="spellStart"/>
      <w:r>
        <w:t>Consortio</w:t>
      </w:r>
      <w:proofErr w:type="spellEnd"/>
      <w:r>
        <w:t xml:space="preserve"> </w:t>
      </w:r>
      <w:proofErr w:type="spellStart"/>
      <w:r>
        <w:t>Familiaris</w:t>
      </w:r>
      <w:proofErr w:type="spellEnd"/>
      <w:r>
        <w:t xml:space="preserve"> 14:35</w:t>
      </w:r>
    </w:p>
  </w:footnote>
  <w:footnote w:id="3">
    <w:p w:rsidR="00A20C8E" w:rsidRDefault="002309FE">
      <w:pPr>
        <w:pStyle w:val="FootnoteText"/>
      </w:pPr>
      <w:r>
        <w:rPr>
          <w:rStyle w:val="FootnoteReference"/>
        </w:rPr>
        <w:footnoteRef/>
      </w:r>
      <w:r>
        <w:t xml:space="preserve"> </w:t>
      </w:r>
      <w:proofErr w:type="spellStart"/>
      <w:r>
        <w:t>Cf</w:t>
      </w:r>
      <w:proofErr w:type="spellEnd"/>
      <w:r>
        <w:t xml:space="preserve">: </w:t>
      </w:r>
      <w:proofErr w:type="spellStart"/>
      <w:r>
        <w:t>Consortio</w:t>
      </w:r>
      <w:proofErr w:type="spellEnd"/>
      <w:r>
        <w:t xml:space="preserve"> </w:t>
      </w:r>
      <w:proofErr w:type="spellStart"/>
      <w:r>
        <w:t>Familiaris</w:t>
      </w:r>
      <w:proofErr w:type="spellEnd"/>
      <w:r>
        <w:t xml:space="preserve"> 14:36</w:t>
      </w:r>
    </w:p>
  </w:footnote>
  <w:footnote w:id="4">
    <w:p w:rsidR="00A20C8E" w:rsidRDefault="002309FE">
      <w:pPr>
        <w:pStyle w:val="FootnoteText"/>
      </w:pPr>
      <w:r>
        <w:rPr>
          <w:rStyle w:val="FootnoteReference"/>
        </w:rPr>
        <w:footnoteRef/>
      </w:r>
      <w:r>
        <w:t xml:space="preserve">  Genesis 1:28</w:t>
      </w:r>
    </w:p>
  </w:footnote>
  <w:footnote w:id="5">
    <w:p w:rsidR="00A20C8E" w:rsidRDefault="002309FE">
      <w:pPr>
        <w:pStyle w:val="FootnoteText"/>
      </w:pPr>
      <w:r>
        <w:rPr>
          <w:rStyle w:val="FootnoteReference"/>
        </w:rPr>
        <w:footnoteRef/>
      </w:r>
      <w:r>
        <w:t xml:space="preserve">  Exodus 23:26</w:t>
      </w:r>
    </w:p>
  </w:footnote>
  <w:footnote w:id="6">
    <w:p w:rsidR="00A20C8E" w:rsidRDefault="002309FE">
      <w:pPr>
        <w:pStyle w:val="FootnoteText"/>
      </w:pPr>
      <w:r>
        <w:rPr>
          <w:rStyle w:val="FootnoteReference"/>
        </w:rPr>
        <w:footnoteRef/>
      </w:r>
      <w:r>
        <w:t xml:space="preserve"> Genesis 15:4</w:t>
      </w:r>
    </w:p>
  </w:footnote>
  <w:footnote w:id="7">
    <w:p w:rsidR="007D256F" w:rsidRDefault="007D256F">
      <w:pPr>
        <w:pStyle w:val="FootnoteText"/>
      </w:pPr>
      <w:r>
        <w:rPr>
          <w:rStyle w:val="FootnoteReference"/>
        </w:rPr>
        <w:footnoteRef/>
      </w:r>
      <w:r>
        <w:t xml:space="preserve"> </w:t>
      </w:r>
      <w:proofErr w:type="spellStart"/>
      <w:r w:rsidR="000E2B29">
        <w:t>Cf</w:t>
      </w:r>
      <w:proofErr w:type="spellEnd"/>
      <w:r w:rsidR="001C4A7A">
        <w:t xml:space="preserve">: </w:t>
      </w:r>
      <w:proofErr w:type="spellStart"/>
      <w:r w:rsidR="001C4A7A">
        <w:t>Consortio</w:t>
      </w:r>
      <w:proofErr w:type="spellEnd"/>
      <w:r w:rsidR="001C4A7A">
        <w:t xml:space="preserve"> </w:t>
      </w:r>
      <w:proofErr w:type="spellStart"/>
      <w:r w:rsidR="001C4A7A">
        <w:t>Familiaris</w:t>
      </w:r>
      <w:proofErr w:type="spellEnd"/>
      <w:r w:rsidR="001C4A7A">
        <w:t xml:space="preserve"> 14:36</w:t>
      </w:r>
    </w:p>
  </w:footnote>
  <w:footnote w:id="8">
    <w:p w:rsidR="00A20C8E" w:rsidRDefault="002309FE">
      <w:pPr>
        <w:pStyle w:val="FootnoteText"/>
      </w:pPr>
      <w:r>
        <w:rPr>
          <w:rStyle w:val="FootnoteReference"/>
        </w:rPr>
        <w:footnoteRef/>
      </w:r>
      <w:r>
        <w:t xml:space="preserve"> </w:t>
      </w:r>
      <w:proofErr w:type="spellStart"/>
      <w:r>
        <w:t>Cf</w:t>
      </w:r>
      <w:proofErr w:type="spellEnd"/>
      <w:r>
        <w:t xml:space="preserve">: </w:t>
      </w:r>
      <w:proofErr w:type="spellStart"/>
      <w:r>
        <w:t>Consortio</w:t>
      </w:r>
      <w:proofErr w:type="spellEnd"/>
      <w:r>
        <w:t xml:space="preserve"> </w:t>
      </w:r>
      <w:proofErr w:type="spellStart"/>
      <w:r>
        <w:t>Familiaris</w:t>
      </w:r>
      <w:proofErr w:type="spellEnd"/>
      <w:r>
        <w:t xml:space="preserve"> 20:49</w:t>
      </w:r>
    </w:p>
  </w:footnote>
  <w:footnote w:id="9">
    <w:p w:rsidR="00A20C8E" w:rsidRDefault="002309FE">
      <w:pPr>
        <w:pStyle w:val="FootnoteText"/>
      </w:pPr>
      <w:r>
        <w:rPr>
          <w:rStyle w:val="FootnoteReference"/>
        </w:rPr>
        <w:footnoteRef/>
      </w:r>
      <w:r>
        <w:t xml:space="preserve"> </w:t>
      </w:r>
      <w:proofErr w:type="spellStart"/>
      <w:r>
        <w:t>Cf</w:t>
      </w:r>
      <w:proofErr w:type="spellEnd"/>
      <w:r>
        <w:t xml:space="preserve">: </w:t>
      </w:r>
      <w:proofErr w:type="spellStart"/>
      <w:r>
        <w:t>Consortio</w:t>
      </w:r>
      <w:proofErr w:type="spellEnd"/>
      <w:r>
        <w:t xml:space="preserve"> </w:t>
      </w:r>
      <w:proofErr w:type="spellStart"/>
      <w:r>
        <w:t>Familiaris</w:t>
      </w:r>
      <w:proofErr w:type="spellEnd"/>
      <w:r>
        <w:t xml:space="preserve"> 20:50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47"/>
    <w:rsid w:val="D77FEF6C"/>
    <w:rsid w:val="FDAC59C8"/>
    <w:rsid w:val="FFBF898E"/>
    <w:rsid w:val="00025780"/>
    <w:rsid w:val="0004292B"/>
    <w:rsid w:val="000C52E7"/>
    <w:rsid w:val="000E2B29"/>
    <w:rsid w:val="000F3A92"/>
    <w:rsid w:val="00106546"/>
    <w:rsid w:val="00120353"/>
    <w:rsid w:val="001B3155"/>
    <w:rsid w:val="001C4A7A"/>
    <w:rsid w:val="00200B53"/>
    <w:rsid w:val="0022276A"/>
    <w:rsid w:val="002309FE"/>
    <w:rsid w:val="002C0EA7"/>
    <w:rsid w:val="003D096B"/>
    <w:rsid w:val="003E23A1"/>
    <w:rsid w:val="0040034D"/>
    <w:rsid w:val="00416CF6"/>
    <w:rsid w:val="00467F0C"/>
    <w:rsid w:val="004F1B0A"/>
    <w:rsid w:val="004F304E"/>
    <w:rsid w:val="005252D9"/>
    <w:rsid w:val="005457DD"/>
    <w:rsid w:val="00596C41"/>
    <w:rsid w:val="005F032C"/>
    <w:rsid w:val="00607C74"/>
    <w:rsid w:val="00694480"/>
    <w:rsid w:val="006F27F4"/>
    <w:rsid w:val="0072396D"/>
    <w:rsid w:val="00795837"/>
    <w:rsid w:val="007D256F"/>
    <w:rsid w:val="00836D52"/>
    <w:rsid w:val="008F4B47"/>
    <w:rsid w:val="008F5B79"/>
    <w:rsid w:val="009302C2"/>
    <w:rsid w:val="00A20C8E"/>
    <w:rsid w:val="00A50D97"/>
    <w:rsid w:val="00A565A0"/>
    <w:rsid w:val="00A75A5E"/>
    <w:rsid w:val="00A87FDC"/>
    <w:rsid w:val="00AD61C5"/>
    <w:rsid w:val="00B56CF5"/>
    <w:rsid w:val="00BB68F0"/>
    <w:rsid w:val="00D53D0F"/>
    <w:rsid w:val="00D55A92"/>
    <w:rsid w:val="00D85953"/>
    <w:rsid w:val="00D928A7"/>
    <w:rsid w:val="00DB1DCD"/>
    <w:rsid w:val="00E013AE"/>
    <w:rsid w:val="00ED436A"/>
    <w:rsid w:val="00F219E2"/>
    <w:rsid w:val="00F84007"/>
    <w:rsid w:val="00FA4857"/>
    <w:rsid w:val="00FB0770"/>
    <w:rsid w:val="3F3CDC0E"/>
    <w:rsid w:val="3FF51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694D"/>
  <w15:docId w15:val="{73C23C5E-D34D-4B22-A51D-A2879D3C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Pr>
      <w:rFonts w:eastAsiaTheme="minorEastAsia"/>
      <w:color w:val="595959" w:themeColor="text1" w:themeTint="A6"/>
      <w:spacing w:val="15"/>
    </w:rPr>
  </w:style>
  <w:style w:type="character" w:customStyle="1" w:styleId="SubtitleChar">
    <w:name w:val="Subtitle Char"/>
    <w:basedOn w:val="DefaultParagraphFont"/>
    <w:link w:val="Subtitle"/>
    <w:uiPriority w:val="11"/>
    <w:qFormat/>
    <w:rPr>
      <w:rFonts w:eastAsiaTheme="minorEastAsia"/>
      <w:color w:val="595959" w:themeColor="text1" w:themeTint="A6"/>
      <w:spacing w:val="15"/>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EndnoteTextChar">
    <w:name w:val="Endnote Text Char"/>
    <w:basedOn w:val="DefaultParagraphFont"/>
    <w:link w:val="EndnoteText"/>
    <w:uiPriority w:val="99"/>
    <w:semiHidden/>
    <w:rPr>
      <w:sz w:val="20"/>
      <w:szCs w:val="20"/>
    </w:rPr>
  </w:style>
  <w:style w:type="character" w:customStyle="1" w:styleId="FootnoteTextChar">
    <w:name w:val="Footnote Text Char"/>
    <w:basedOn w:val="DefaultParagraphFont"/>
    <w:link w:val="Footnote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EA123-063A-428A-B384-2E9965994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Njoku</dc:creator>
  <cp:keywords/>
  <dc:description/>
  <cp:lastModifiedBy>Anastasia Njoku</cp:lastModifiedBy>
  <cp:revision>1</cp:revision>
  <dcterms:created xsi:type="dcterms:W3CDTF">2024-01-19T19:50:00Z</dcterms:created>
  <dcterms:modified xsi:type="dcterms:W3CDTF">2024-01-19T21:19:00Z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